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Das Bundesverfassungsgericht gibt</w:t>
      </w:r>
    </w:p>
    <w:p>
      <w:pPr>
        <w:ind w:left="420"/>
      </w:pPr>
      <w:r>
        <w:t xml:space="preserve">1. in den Fällen des § 76 Abs. 1 dem Bundestag, dem Bundesrat, der Bundesregierung, bei Meinungsverschiedenheiten über die Gültigkeit von Bundesrecht auch den Landesregierungen und bei Meinungsverschiedenheiten über die Gültigkeit einer landesrechtlichen Norm der Volksvertretung und der Regierung des Landes, in dem die Norm verkündet wurde,</w:t>
      </w:r>
    </w:p>
    <w:p>
      <w:pPr>
        <w:ind w:left="420"/>
      </w:pPr>
      <w:r>
        <w:t xml:space="preserve">2. in den Fällen des § 76 Abs. 2 dem Bundestag, dem Bundesrat, der Bundesregierung sowie den Volksvertretungen und Regierungen der Länder</w:t>
      </w:r>
    </w:p>
    <w:p>
      <w:r>
        <w:t xml:space="preserve">binnen einer zu bestimmenden Frist Gelegenheit zur Äußerung.</w:t>
      </w:r>
    </w:p>
    <w:p>
      <w:r>
        <w:rPr>
          <w:color w:val="555555"/>
          <w:sz w:val="17"/>
        </w:rPr>
        <w:t xml:space="preserve">Zitiervorschlag: § 77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