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Der Antrag der Bundesregierung, einer Landesregierung oder eines Viertels der Mitglieder des Bundestages gemäß Artikel 94 Absatz 1 Nummer 2 des Grundgesetzes ist nur zulässig, wenn der Antragsteller Bundes- oder Landesrecht</w:t>
      </w:r>
    </w:p>
    <w:p>
      <w:pPr>
        <w:ind w:left="420"/>
      </w:pPr>
      <w:r>
        <w:t xml:space="preserve">1. wegen seiner förmlichen oder sachlichen Unvereinbarkeit mit dem Grundgesetz oder dem sonstigen Bundesrecht für nichtig hält oder</w:t>
      </w:r>
    </w:p>
    <w:p>
      <w:pPr>
        <w:ind w:left="420"/>
      </w:pPr>
      <w:r>
        <w:t xml:space="preserve">2. für gültig hält, nachdem ein Gericht, eine Verwaltungsbehörde oder ein Organ des Bundes oder eines Landes das Recht als unvereinbar mit dem Grundgesetz oder sonstigem Bundesrecht nicht angewendet hat.</w:t>
      </w:r>
    </w:p>
    <w:p>
      <w:r>
        <w:t xml:space="preserve">(2) Der Antrag des Bundesrates, einer Landesregierung oder der Volksvertretung eines Landes gemäß Artikel 94 Absatz 1 Nummer 2a des Grundgesetzes ist nur zulässig, wenn der Antragsteller ein Bundesgesetz wegen Nichterfüllung der Voraussetzungen des Artikels 72 Abs. 2 des Grundgesetzes für nichtig hält; der Antrag kann auch darauf gestützt werden, daß der Antragsteller das Bundesgesetz wegen Nichterfüllung der Voraussetzungen des Artikels 75 Abs. 2 des Grundgesetzes für nichtig hält.</w:t>
      </w:r>
    </w:p>
    <w:p>
      <w:r>
        <w:rPr>
          <w:color w:val="555555"/>
          <w:sz w:val="17"/>
        </w:rPr>
        <w:t xml:space="preserve">Zitiervorschlag: § 76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