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Bundesverfassungsgericht kann in seiner Entscheidung erkennen auf</w:t>
      </w:r>
    </w:p>
    <w:p>
      <w:pPr>
        <w:ind w:left="420"/>
      </w:pPr>
      <w:r>
        <w:t xml:space="preserve">1. die Zulässigkeit oder Unzulässigkeit einer Maßnahme,</w:t>
      </w:r>
    </w:p>
    <w:p>
      <w:pPr>
        <w:ind w:left="420"/>
      </w:pPr>
      <w:r>
        <w:t xml:space="preserve">2. die Verpflichtung des Antragsgegners, eine Maßnahme zu unterlassen, rückgängig zu machen, durchzuführen oder zu dulden,</w:t>
      </w:r>
    </w:p>
    <w:p>
      <w:pPr>
        <w:ind w:left="420"/>
      </w:pPr>
      <w:r>
        <w:t xml:space="preserve">3. die Verpflichtung, eine Leistung zu erbringen.</w:t>
      </w:r>
    </w:p>
    <w:p>
      <w:r>
        <w:t xml:space="preserve">(2) In dem Verfahren nach § 71 Abs. 1 Nr. 3 stellt das Bundesverfassungsgericht fest, ob die beanstandete Maßnahme oder Unterlassung des Antragsgegners gegen eine Bestimmung der Landesverfassung verstößt. Die Vorschriften des § 67 Satz 2 und 3 gelten entsprechend.</w:t>
      </w:r>
    </w:p>
    <w:p>
      <w:r>
        <w:rPr>
          <w:color w:val="555555"/>
          <w:sz w:val="17"/>
        </w:rPr>
        <w:t xml:space="preserve">Zitiervorschlag: § 72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