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Wiederaufnahme des Verfahrens findet nur zugunsten des Verurteilten und nur auf seinen Antrag oder nach seinem Tode auf Antrag seines Ehegatten, Lebenspartners oder eines seiner Abkömmlinge unter den Voraussetzungen der §§ 359 und 364 der Strafprozeßordnung statt. In dem Antrag müssen der gesetzliche Grund der Wiederaufnahme sowie die Beweismittel angegeben werden. Durch den Antrag auf Wiederaufnahme wird die Wirksamkeit des Urteils nicht gehemmt.</w:t>
      </w:r>
    </w:p>
    <w:p>
      <w:r>
        <w:t xml:space="preserve">(2) Über die Zulassung des Antrages entscheidet das Bundesverfassungsgericht ohne mündliche Verhandlung. Die Vorschriften der §§ 368, 369 Abs. 1, 2 und 4 und der §§ 370 und 371 Abs. 1 bis 3 der Strafprozeßordnung gelten entsprechend.</w:t>
      </w:r>
    </w:p>
    <w:p>
      <w:r>
        <w:t xml:space="preserve">(3) In der erneuten Hauptverhandlung ist entweder das frühere Urteil aufrechtzuerhalten oder auf eine mildere Maßnahme oder auf Freispruch zu erkennen.</w:t>
      </w:r>
    </w:p>
    <w:p>
      <w:r>
        <w:rPr>
          <w:color w:val="555555"/>
          <w:sz w:val="17"/>
        </w:rPr>
        <w:t xml:space="preserve">Zitiervorschlag: § 61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