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Bundesverfassungsgericht erkennt auf eine der im Artikel 98 Abs. 2 des Grundgesetzes vorgesehenen Maßnahmen oder auf Freispruch.</w:t>
      </w:r>
    </w:p>
    <w:p>
      <w:r>
        <w:t xml:space="preserve">(2) Erkennt das Bundesverfassungsgericht auf Entlassung, so tritt der Amtsverlust mit der Verkündung des Urteils ein.</w:t>
      </w:r>
    </w:p>
    <w:p>
      <w:r>
        <w:t xml:space="preserve">(3) Wird auf Versetzung in ein anderes Amt oder in den Ruhestand erkannt, so obliegt der Vollzug der für die Entlassung des Bundesrichters zuständigen Stelle.</w:t>
      </w:r>
    </w:p>
    <w:p>
      <w:r>
        <w:t xml:space="preserve">(4) Eine Ausfertigung des Urteils mit Gründen ist dem Bundespräsidenten, dem Bundestag und der Bundesregierung zu übersenden.</w:t>
      </w:r>
    </w:p>
    <w:p>
      <w:r>
        <w:rPr>
          <w:color w:val="555555"/>
          <w:sz w:val="17"/>
        </w:rPr>
        <w:t xml:space="preserve">Zitiervorschlag: § 59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