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Bundesverfassungsgericht stellt im Urteil fest, ob der Bundespräsident einer vorsätzlichen Verletzung des Grundgesetzes oder eines genau zu bezeichnenden Bundesgesetzes schuldig ist.</w:t>
      </w:r>
    </w:p>
    <w:p>
      <w:r>
        <w:t xml:space="preserve">(2) Im Falle der Verurteilung kann das Bundesverfassungsgericht den Bundespräsidenten seines Amtes für verlustig erklären. Mit der Verkündung des Urteils tritt der Amtsverlust ein.</w:t>
      </w:r>
    </w:p>
    <w:p>
      <w:r>
        <w:rPr>
          <w:color w:val="555555"/>
          <w:sz w:val="17"/>
        </w:rPr>
        <w:t xml:space="preserve">Zitiervorschlag: § 56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