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55 BVerfGG</w:t>
      </w:r>
    </w:p>
    <w:p>
      <w:r>
        <w:rPr>
          <w:color w:val="555555"/>
          <w:sz w:val="18"/>
        </w:rPr>
        <w:t xml:space="preserve">Bundesverfassungsgerichtsgesetz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Bundesverfassungsgericht entscheidet auf Grund mündlicher Verhandlung.</w:t>
      </w:r>
    </w:p>
    <w:p>
      <w:r>
        <w:t xml:space="preserve">(2) Zur Verhandlung ist der Bundespräsident zu laden. Dabei ist er darauf hinzuweisen, daß ohne ihn verhandelt wird, wenn er unentschuldigt ausbleibt oder ohne ausreichenden Grund sich vorzeitig entfernt.</w:t>
      </w:r>
    </w:p>
    <w:p>
      <w:r>
        <w:t xml:space="preserve">(3) In der Verhandlung trägt der Beauftragte der antragstellenden Körperschaft zunächst die Anklage vor.</w:t>
      </w:r>
    </w:p>
    <w:p>
      <w:r>
        <w:t xml:space="preserve">(4) Sodann erhält der Bundespräsident Gelegenheit, sich zur Anklage zu erklären.</w:t>
      </w:r>
    </w:p>
    <w:p>
      <w:r>
        <w:t xml:space="preserve">(5) Hierauf findet die Beweiserhebung statt.</w:t>
      </w:r>
    </w:p>
    <w:p>
      <w:r>
        <w:t xml:space="preserve">(6) Zum Schluß wird der Vertreter der Anklage mit seinem Antrag und der Bundespräsident mit seiner Verteidigung gehört. Er hat das letzte Wort.</w:t>
      </w:r>
    </w:p>
    <w:p>
      <w:r>
        <w:rPr>
          <w:color w:val="555555"/>
          <w:sz w:val="17"/>
        </w:rPr>
        <w:t xml:space="preserve">Zitiervorschlag: § 55 BVerfGG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https://recht.nulegal.eu/gesetze/BVerfGG/55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