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Erweist sich der Antrag auf Entscheidung gemäß Artikel 21 Absatz 3 des Grundgesetzes als begründet, so stellt das Bundesverfassungsgericht fest, dass die Partei für sechs Jahre von der staatlichen Finanzierung nach § 18 des Parteiengesetzes ausgeschlossen ist. Die Feststellung ist auf Ersatzparteien zu erstrecken. Dass eine Partei die Bestrebungen einer nach Satz 1 von der staatlichen Finanzierung ausgeschlossenen Partei als Ersatzpartei an deren Stelle weiter verfolgt oder fortführt, stellt das Bundesverfassungsgericht entsprechend Satz 1 fest. Die Feststellung erfolgt auf Antrag eines Berechtigten nach § 43 Absatz 1 Satz 1; § 45 ist auf das Verfahren nicht anzuwenden.</w:t>
      </w:r>
    </w:p>
    <w:p>
      <w:r>
        <w:t xml:space="preserve">(2) Beantragt einer der Antragsberechtigten spätestens sechs Monate vor Ablauf der Frist nach Absatz 1 Satz 1 ihre Verlängerung, bleibt die Partei bis zur Entscheidung über diesen Antrag von staatlicher Finanzierung ausgeschlossen. § 45 ist auf das Verfahren nicht anzuwenden. Das Bundesverfassungsgericht kann ohne mündliche Verhandlung entscheiden. Für die Entscheidung gilt Absatz 1 entsprechend. Erneute Verlängerungsanträge sind statthaft.</w:t>
      </w:r>
    </w:p>
    <w:p>
      <w:r>
        <w:rPr>
          <w:color w:val="555555"/>
          <w:sz w:val="17"/>
        </w:rPr>
        <w:t xml:space="preserve">Zitiervorschlag: § 46a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https://recht.nulegal.eu/gesetze/BVerfGG/46a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