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Erweist sich der Antrag auf Entscheidung gemäß Artikel 21 Absatz 2 des Grundgesetzes als begründet, so stellt das Bundesverfassungsgericht fest, daß die politische Partei verfassungswidrig ist.</w:t>
      </w:r>
    </w:p>
    <w:p>
      <w:r>
        <w:t xml:space="preserve">(2) Die Feststellung kann auf einen rechtlich oder organisatorisch selbständigen Teil einer Partei beschränkt werden.</w:t>
      </w:r>
    </w:p>
    <w:p>
      <w:r>
        <w:t xml:space="preserve">(3) Mit der Feststellung ist die Auflösung der Partei oder des selbständigen Teiles der Partei und das Verbot, eine Ersatzorganisation zu schaffen, zu verbinden. Das Bundesverfassungsgericht kann in diesem Fall außerdem die Einziehung des Vermögens der Partei oder des selbständigen Teiles der Partei zugunsten des Bundes oder des Landes zu gemeinnützigen Zwecken aussprechen.</w:t>
      </w:r>
    </w:p>
    <w:p>
      <w:r>
        <w:rPr>
          <w:color w:val="555555"/>
          <w:sz w:val="17"/>
        </w:rPr>
        <w:t xml:space="preserve">Zitiervorschlag: § 46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