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Amtszeit der Richter dauert zwölf Jahre, längstens bis zur Altersgrenze.</w:t>
      </w:r>
    </w:p>
    <w:p>
      <w:r>
        <w:t xml:space="preserve">(2) Eine anschließende oder spätere Wiederwahl der Richter ist ausgeschlossen.</w:t>
      </w:r>
    </w:p>
    <w:p>
      <w:r>
        <w:t xml:space="preserve">(3) Altersgrenze ist das Ende des Monats, in dem der Richter das 68. Lebensjahr vollendet.</w:t>
      </w:r>
    </w:p>
    <w:p>
      <w:r>
        <w:t xml:space="preserve">(4) Nach Ablauf der Amtszeit führen die Richter ihre Amtsgeschäfte bis zur Ernennung des Nachfolgers fort.</w:t>
      </w:r>
    </w:p>
    <w:p>
      <w:r>
        <w:rPr>
          <w:color w:val="555555"/>
          <w:sz w:val="17"/>
        </w:rPr>
        <w:t xml:space="preserve">Zitiervorschlag: § 4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