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Eingang des Antrags kann das Bundesverfassungsgericht eine Beschlagnahme oder Durchsuchung nach den Vorschriften der Strafprozeßordnung anordnen.</w:t>
      </w:r>
    </w:p>
    <w:p>
      <w:r>
        <w:t xml:space="preserve">(2) Das Bundesverfassungsgericht kann zur Vorbereitung der mündlichen Verhandlung eine Voruntersuchung anordnen. Die Durchführung der Voruntersuchung ist einem Richter des nicht zur Entscheidung in der Hauptsache zuständigen Senats zu übertragen.</w:t>
      </w:r>
    </w:p>
    <w:p>
      <w:r>
        <w:rPr>
          <w:color w:val="555555"/>
          <w:sz w:val="17"/>
        </w:rPr>
        <w:t xml:space="preserve">Zitiervorschlag: § 38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