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BVerfGG</w:t>
      </w:r>
    </w:p>
    <w:p>
      <w:r>
        <w:rPr>
          <w:color w:val="555555"/>
          <w:sz w:val="18"/>
        </w:rPr>
        <w:t xml:space="preserve">Bundesverfassungsgerichtsgesetz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Bundesverfassungsgericht kann in seiner Entscheidung bestimmen, wer sie vollstreckt; es kann auch im Einzelfall die Art und Weise der Vollstreckung regeln.</w:t>
      </w:r>
    </w:p>
    <w:p>
      <w:r>
        <w:rPr>
          <w:color w:val="555555"/>
          <w:sz w:val="17"/>
        </w:rPr>
        <w:t xml:space="preserve">Zitiervorschlag: § 35 BVerfGG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