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des Bundesverfassungsgerichts ist kostenfrei.</w:t>
      </w:r>
    </w:p>
    <w:p>
      <w:r>
        <w:t xml:space="preserve">(2) Das Bundesverfassungsgericht kann eine Gebühr bis zu 2.600 Euro auferlegen, wenn die Einlegung der Verfassungsbeschwerde oder der Beschwerde nach Artikel 41 Abs. 2 des Grundgesetzes einen Mißbrauch darstellt oder wenn ein Antrag auf Erlaß einer einstweiligen Anordnung (§ 32) mißbräuchlich gestellt ist.</w:t>
      </w:r>
    </w:p>
    <w:p>
      <w:r>
        <w:t xml:space="preserve">(3) Für die Einziehung der Gebühr gilt § 59 Abs. 1 der Bundeshaushaltsordnung entsprechend.</w:t>
      </w:r>
    </w:p>
    <w:p>
      <w:r>
        <w:rPr>
          <w:color w:val="555555"/>
          <w:sz w:val="17"/>
        </w:rPr>
        <w:t xml:space="preserve">Zitiervorschlag: § 34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