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Das Bundesverfassungsgericht entscheidet in geheimer Beratung nach seiner freien, aus dem Inhalt der Verhandlung und dem Ergebnis der Beweisaufnahme geschöpften Überzeugung. Die Entscheidung ist schriftlich abzufassen, zu begründen und von den Richtern, die bei ihr mitgewirkt haben, zu unterzeichnen. Sie ist sodann, wenn eine mündliche Verhandlung stattgefunden hat, unter Mitteilung der wesentlichen Entscheidungsgründe öffentlich zu verkünden. Der Termin zur Verkündung einer Entscheidung kann in der mündlichen Verhandlung bekanntgegeben oder nach Abschluß der Beratungen festgelegt werden; in diesem Fall ist er den Beteiligten unverzüglich mitzuteilen. Zwischen dem Abschluß der mündlichen Verhandlung und der Verkündung der Entscheidung sollen nicht mehr als drei Monate liegen. Der Termin kann durch Beschluß des Bundesverfassungsgerichts verlegt werden.</w:t>
      </w:r>
    </w:p>
    <w:p>
      <w:r>
        <w:t xml:space="preserve">(2) Ein Richter kann seine in der Beratung vertretene abweichende Meinung zu der Entscheidung oder zu deren Begründung in einem Sondervotum niederlegen; das Sondervotum ist der Entscheidung anzuschließen. Die Senate können in ihren Entscheidungen das Stimmenverhältnis mitteilen. Das Nähere regelt die Geschäftsordnung.</w:t>
      </w:r>
    </w:p>
    <w:p>
      <w:r>
        <w:t xml:space="preserve">(3) Alle Entscheidungen sind den Beteiligten bekanntzugeben.</w:t>
      </w:r>
    </w:p>
    <w:p>
      <w:r>
        <w:rPr>
          <w:color w:val="555555"/>
          <w:sz w:val="17"/>
        </w:rPr>
        <w:t xml:space="preserve">Zitiervorschlag: § 30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