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29 BVerfGG</w:t>
      </w:r>
    </w:p>
    <w:p>
      <w:r>
        <w:rPr>
          <w:color w:val="555555"/>
          <w:sz w:val="18"/>
        </w:rPr>
        <w:t xml:space="preserve">Bundesverfassungsgerichtsgesetz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Beteiligten werden von allen Beweisterminen benachrichtigt und können der Beweisaufnahme beiwohnen. Sie können an Zeugen und Sachverständige Fragen richten. Wird eine Frage beanstandet, so entscheidet das Gericht.</w:t>
      </w:r>
    </w:p>
    <w:p>
      <w:r>
        <w:rPr>
          <w:color w:val="555555"/>
          <w:sz w:val="17"/>
        </w:rPr>
        <w:t xml:space="preserve">Zitiervorschlag: § 29 BVerfGG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https://recht.nulegal.eu/gesetze/BVerfGG/29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