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Bundesverfassungsgericht entscheidet, soweit nichts anderes bestimmt ist, auf Grund mündlicher Verhandlung, es sei denn, daß alle Beteiligten ausdrücklich auf sie verzichten.</w:t>
      </w:r>
    </w:p>
    <w:p>
      <w:r>
        <w:t xml:space="preserve">(2) Die Entscheidung auf Grund mündlicher Verhandlung ergeht als Urteil, die Entscheidung ohne mündliche Verhandlung als Beschluß.</w:t>
      </w:r>
    </w:p>
    <w:p>
      <w:r>
        <w:t xml:space="preserve">(3) Teil- und Zwischenentscheidungen sind zulässig.</w:t>
      </w:r>
    </w:p>
    <w:p>
      <w:r>
        <w:t xml:space="preserve">(4) Die Entscheidungen des Bundesverfassungsgerichts ergehen "im Namen des Volkes".</w:t>
      </w:r>
    </w:p>
    <w:p>
      <w:r>
        <w:rPr>
          <w:color w:val="555555"/>
          <w:sz w:val="17"/>
        </w:rPr>
        <w:t xml:space="preserve">Zitiervorschlag: § 25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https://recht.nulegal.eu/gesetze/BVerfGG/25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