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Will ein Senat in einer Rechtsfrage von der in einer Entscheidung des anderen Senats enthaltenen Rechtsauffassung abweichen, so entscheidet darüber das Plenum des Bundesverfassungsgerichts.</w:t>
      </w:r>
    </w:p>
    <w:p>
      <w:r>
        <w:t xml:space="preserve">(2) Es ist beschlußfähig, wenn von jedem Senat zwei Drittel seiner Richter anwesend sind.</w:t>
      </w:r>
    </w:p>
    <w:p>
      <w:r>
        <w:rPr>
          <w:color w:val="555555"/>
          <w:sz w:val="17"/>
        </w:rPr>
        <w:t xml:space="preserve">Zitiervorschlag: § 16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