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15a BVerfGG</w:t>
      </w:r>
    </w:p>
    <w:p>
      <w:r>
        <w:rPr>
          <w:color w:val="555555"/>
          <w:sz w:val="18"/>
        </w:rPr>
        <w:t xml:space="preserve">Bundesverfassungsgerichtsgesetz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Senate berufen für die Dauer eines Geschäftsjahres mehrere Kammern. Jede Kammer besteht aus drei Richtern. Die Zusammensetzung einer Kammer soll nicht länger als drei Jahre unverändert bleiben.</w:t>
      </w:r>
    </w:p>
    <w:p>
      <w:r>
        <w:t xml:space="preserve">(2) Der Senat beschließt vor Beginn eines Geschäftsjahres für dessen Dauer die Verteilung der Anträge nach § 80 und der Verfassungsbeschwerden nach den §§ 90 und 91 auf die Berichterstatter, die Zahl und Zusammensetzung der Kammern sowie die Vertretung ihrer Mitglieder.</w:t>
      </w:r>
    </w:p>
    <w:p>
      <w:r>
        <w:rPr>
          <w:color w:val="555555"/>
          <w:sz w:val="17"/>
        </w:rPr>
        <w:t xml:space="preserve">Zitiervorschlag: § 15a BVerfGG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https://recht.nulegal.eu/gesetze/BVerfGG/15a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