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 Rechtsanwalt zum Richter am Bundesverfassungsgericht ernannt, so ruhen seine Rechte aus der Zulassung für die Dauer seines Amtes.</w:t>
      </w:r>
    </w:p>
    <w:p>
      <w:r>
        <w:t xml:space="preserve">(2) Wird ein Notar zum Richter am Bundesverfassungsgericht ernannt, so gilt § 101 Abs. 1 Satz 2 entsprechend.</w:t>
      </w:r>
    </w:p>
    <w:p>
      <w:r>
        <w:rPr>
          <w:color w:val="555555"/>
          <w:sz w:val="17"/>
        </w:rPr>
        <w:t xml:space="preserve">Zitiervorschlag: § 104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