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Steht einem früheren Richter des Bundesverfassungsgerichts ein Anspruch auf Ruhegehalt nach § 101 zu, so ruht dieser Anspruch für den Zeitraum, für den ihm Ruhegehalt oder Übergangsgeld nach § 98 oder § 100 zu zahlen ist, bis zur Höhe des Betrages dieser Bezüge.</w:t>
      </w:r>
    </w:p>
    <w:p>
      <w:r>
        <w:t xml:space="preserve">(2) Wird ein früherer Richter des Bundesverfassungsgerichts, der Übergangsgeld nach § 100 bezieht, im öffentlichen Dienst wiederverwendet, so wird das Einkommen aus dieser Verwendung auf das Übergangsgeld angerechnet.</w:t>
      </w:r>
    </w:p>
    <w:p>
      <w:r>
        <w:t xml:space="preserve">(3) Bezieht ein früherer Richter des Bundesverfassungsgerichts Dienstbezüge, Emeritenbezüge oder Ruhegehalt aus einem vor oder während seiner Amtszeit als Bundesverfassungsrichter begründeten Dienstverhältnis als Hochschullehrer, so ruhen neben den Dienstbezügen das Ruhegeld oder das Übergangsgeld aus dem Richteramt insoweit, als sie zusammen das um den nach § 101 Abs. 3 Satz 3 anrechnungsfreien Betrag erhöhte Amtsgehalt übersteigen; neben den Emeritenbezügen oder dem Ruhegehalt aus dem Dienstverhältnis als Hochschullehrer werden das Ruhegehalt oder das Übergangsgeld aus dem Richteramt bis zur Erreichung des Ruhegehalts gewährt, das sich unter Zugrundelegung der gesamten ruhegehaltfähigen Dienstzeit und des Amtsgehalts zuzüglich des anrechnungsfreien Betrages nach § 101 Abs. 3 Satz 3 ergibt.</w:t>
      </w:r>
    </w:p>
    <w:p>
      <w:r>
        <w:t xml:space="preserve">(4) Die Absätze 1 bis 3 gelten entsprechend für die Hinterbliebenen. § 54 Abs. 3 und Abs. 4 Satz 2 des Beamtenversorgungsgesetzes gilt sinngemäß.</w:t>
      </w:r>
    </w:p>
    <w:p>
      <w:r>
        <w:rPr>
          <w:color w:val="555555"/>
          <w:sz w:val="17"/>
        </w:rPr>
        <w:t xml:space="preserve">Zitiervorschlag: § 102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