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Ein zum Richter des Bundesverfassungsgerichts gewählter Beamter oder Richter scheidet vorbehaltlich der Vorschrift des § 70 des Deutschen Richtergesetzes mit der Ernennung aus seinem bisherigen Amt aus. Für die Dauer des Amtes als Richter des Bundesverfassungsgerichts ruhen die in dem Dienstverhältnis als Beamter oder Richter begründeten Rechte und Pflichten. Bei unfallverletzten Beamten oder Richtern bleibt der Anspruch auf das Heilverfahren unberührt.</w:t>
      </w:r>
    </w:p>
    <w:p>
      <w:r>
        <w:t xml:space="preserve">(2) Endet das Amt als Richter des Bundesverfassungsgerichts, so tritt der Beamte oder Richter, wenn ihm kein anderes Amt übertragen wird, aus seinem Dienstverhältnis als Beamter oder Richter in den Ruhestand und erhält das Ruhegehalt, das er in seinem früheren Amt unter Hinzurechnung der Dienstzeit als Richter des Bundesverfassungsgerichts erhalten hätte. Soweit es sich um Beamte oder Richter handelt, die nicht Bundesbeamte oder Bundesrichter sind, erstattet der Bund dem Dienstherrn das Ruhegehalt sowie die Hinterbliebenenbezüge.</w:t>
      </w:r>
    </w:p>
    <w:p>
      <w:r>
        <w:t xml:space="preserve">(3) Die Absätze 1 und 2 gelten nicht für beamtete Lehrer des Rechts an einer deutschen Hochschule. Für die Dauer ihres Amtes als Richter am Bundesverfassungsgericht ruhen grundsätzlich ihre Pflichten aus dem Dienstverhältnis als Hochschullehrer. Von den Dienstbezügen aus dem Dienstverhältnis als Hochschullehrer werden zwei Drittel auf die ihnen als Richter des Bundesverfassungsgerichts zustehenden Bezüge angerechnet. Der Bund erstattet dem Dienstherrn des Hochschullehrers die durch seine Vertretung erwachsenden tatsächlichen Ausgaben bis zur Höhe der angerechneten Beträge.</w:t>
      </w:r>
    </w:p>
    <w:p>
      <w:r>
        <w:rPr>
          <w:color w:val="555555"/>
          <w:sz w:val="17"/>
        </w:rPr>
        <w:t xml:space="preserve">Zitiervorschlag: § 101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