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Endet das Amt eines Richters des Bundesverfassungsgerichts nach § 12, so erhält er, wenn er sein Amts wenigstens zwei Jahre bekleidet hat, für die Dauer eines Jahres ein Übergangsgeld in Höhe seiner Bezüge nach Maßgabe des Gesetzes über das Amtsgehalt der Mitglieder des Bundesverfassungsgerichts. Dies gilt nicht für den Fall des Eintritts in den Ruhestand nach § 98.</w:t>
      </w:r>
    </w:p>
    <w:p>
      <w:r>
        <w:t xml:space="preserve">(2) Die Hinterbliebenen eines früheren Richters des Bundesverfassungsgerichts, der zur Zeit seines Todes Übergangsgeld bezog, erhalten Sterbegeld sowie für den Rest der Bezugsdauer des Übergangsgeldes Witwen- und Waisengeld; Sterbegeld, Witwen- und Waisengeld werden aus dem Übergangsgeld berechnet.</w:t>
      </w:r>
    </w:p>
    <w:p>
      <w:r>
        <w:rPr>
          <w:color w:val="555555"/>
          <w:sz w:val="17"/>
        </w:rPr>
        <w:t xml:space="preserve">Zitiervorschlag: § 100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