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ist ein allen übrigen Verfassungsorganen gegenüber selbständiger und unabhängiger Gerichtshof des Bundes.</w:t>
      </w:r>
    </w:p>
    <w:p>
      <w:r>
        <w:t xml:space="preserve">(2) Der Sitz des Bundesverfassungsgerichts ist Karlsruhe.</w:t>
      </w:r>
    </w:p>
    <w:p>
      <w:r>
        <w:t xml:space="preserve">(3) Das Bundesverfassungsgericht gibt sich eine Geschäftsordnung, die das Plenum beschließt.</w:t>
      </w:r>
    </w:p>
    <w:p>
      <w:r>
        <w:rPr>
          <w:color w:val="555555"/>
          <w:sz w:val="17"/>
        </w:rPr>
        <w:t xml:space="preserve">Zitiervorschlag: § 1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