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BVerfGAmtsGehG</w:t>
      </w:r>
    </w:p>
    <w:p>
      <w:r>
        <w:rPr>
          <w:color w:val="555555"/>
          <w:sz w:val="18"/>
        </w:rPr>
        <w:t xml:space="preserve">Gesetz über das Amtsgehalt der Mitglieder des Bundesverfassungsgerichts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mit Wirkung vom 1. Juli 1963 in Kraft.</w:t>
      </w:r>
    </w:p>
    <w:p>
      <w:r>
        <w:rPr>
          <w:color w:val="555555"/>
          <w:sz w:val="17"/>
        </w:rPr>
        <w:t xml:space="preserve">Zitiervorschlag: § 4 BVerfGAmtsGehG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https://recht.nulegal.eu/gesetze/BVerfGAmtsGehG/4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