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BVerfGAmtsGehG</w:t>
      </w:r>
    </w:p>
    <w:p>
      <w:r>
        <w:rPr>
          <w:color w:val="555555"/>
          <w:sz w:val="18"/>
        </w:rPr>
        <w:t xml:space="preserve">Gesetz über das Amtsgehalt der Mitglieder des Bundesverfassungsgerichts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Dieses Gesetz gilt nach Maßgabe des § 13 Abs. 1 des Dritten Überleitungsgesetzes vom 4. Januar 1952 (Bundesgesetzbl. I S. 1) auch im Land Berlin.</w:t>
      </w:r>
    </w:p>
    <w:p>
      <w:r>
        <w:rPr>
          <w:color w:val="555555"/>
          <w:sz w:val="17"/>
        </w:rPr>
        <w:t xml:space="preserve">Zitiervorschlag: § 3 BVerfGAmtsGehG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https://recht.nulegal.eu/gesetze/BVerfGAmtsGehG/3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