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1b BVerfGAmtsGehG</w:t>
      </w:r>
    </w:p>
    <w:p>
      <w:r>
        <w:rPr>
          <w:color w:val="555555"/>
          <w:sz w:val="18"/>
        </w:rPr>
        <w:t xml:space="preserve">Gesetz über das Amtsgehalt der Mitglieder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Familienzuschlag gilt der in der Anlage V des Bundesbesoldungsgesetzes bestimmte Satz; jedoch erhält der Präsident des Bundesverfassungsgerichts eineindrittel, der Vizepräsident des Bundesverfassungsgerichts eineinsechstel der hiernach maßgebenden Beträge.</w:t>
      </w:r>
    </w:p>
    <w:p>
      <w:r>
        <w:rPr>
          <w:color w:val="555555"/>
          <w:sz w:val="17"/>
        </w:rPr>
        <w:t xml:space="preserve">Zitiervorschlag: § 1b BVerfGAmtsGehG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https://recht.nulegal.eu/gesetze/BVerfGAmtsGehG/1b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