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BVSG NW (Nordrhein-Westfalen) — Umfang der Beschäftigungspflicht</w:t>
      </w:r>
    </w:p>
    <w:p>
      <w:r>
        <w:rPr>
          <w:color w:val="555555"/>
          <w:sz w:val="18"/>
        </w:rPr>
        <w:t xml:space="preserve">Bergmannsversorgungsscheingesetz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Arbeitgeber, die über mindestens einhundert Arbeitsplätze im Sinne des § 4 verfügen, haben auf 1 v. H. der Arbeitsplätze Inhaber der Bergmannsversorgungsscheins zu beschäftigen.</w:t>
      </w:r>
    </w:p>
    <w:p>
      <w:r>
        <w:t xml:space="preserve">(2) Bei Berechnung der Zahl der Pflichtplätze nach Absatz 1 sich ergebende Bruchteile bleiben unberücksichtigt.</w:t>
      </w:r>
    </w:p>
    <w:p>
      <w:r>
        <w:rPr>
          <w:color w:val="555555"/>
          <w:sz w:val="17"/>
        </w:rPr>
        <w:t xml:space="preserve">Zitiervorschlag: § 5 BVSG NW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https://recht.nulegal.eu/gesetze/BVSG%20NW/5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