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BVSG NW (Nordrhein-Westfalen) — Kündigungsschutz bei ordentlicher Kündigung</w:t>
      </w:r>
    </w:p>
    <w:p>
      <w:r>
        <w:rPr>
          <w:color w:val="555555"/>
          <w:sz w:val="18"/>
        </w:rPr>
        <w:t xml:space="preserve">Bergmannsversorgungsscheingesetz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Inhaber des Bergmannsversorgungsscheins darf nur mit vorheriger Zustimmung der Zentralstelle gekündigt werden. Die Zustimmung ist schriftlich oder elektronisch zu beantragen. Die Zentralstelle soll binnen eines Monats, falls erforderlich auf Grund mündlicher Verhandlung, über den Antrag entscheiden. Sie muß dem Antrag stattgeben, wenn dem Berechtigten ein anderer angemessener Arbeitsplatz gesichert ist, sie soll ihm stattgeben, wenn keine unbillige Härte vorliegt. Bei der Entscheidung hat sie die Untertagezeiten zu berücksichtigen. Die Kündigungsfrist beträgt mindestens vier Wochen.</w:t>
      </w:r>
    </w:p>
    <w:p>
      <w:r>
        <w:t xml:space="preserve">(2) Die Zentralstelle hat in jeder Lage des Verfahrens auf eine gütliche Einigung hinzuwirken.</w:t>
      </w:r>
    </w:p>
    <w:p>
      <w:r>
        <w:t xml:space="preserve">(3) Die Zustimmung ist zu erteilen, wenn Betriebe oder Dienststellen nicht nur vorübergehend vollständig eingestellt werden und zwischen dem Tage der Kündigung und dem Tage, bis zu dem Gehalt oder Lohn weitergezahlt wird, mindestens drei Monate liegen. Unter den gleichen Voraussetzungen soll die Zentralstelle die Zustimmung erteilen, wenn Betriebe oder Dienststellen nicht nur vorübergehend wesentlich eingeschränkt werden und weiterhin die Beschäftigungspflicht nach § 5 Abs. 1 erfüllt wird.</w:t>
      </w:r>
    </w:p>
    <w:p>
      <w:r>
        <w:t xml:space="preserve">(4) Ist der Inhaber des Bergmannsversorgungsscheins zugleich Mensch mit schwerer Behinderung, so hat die Zentralstelle ihre Entscheidung bis zur Entscheidung im Kündigungszustimmungsverfahren nach dem Neunten Buch Sozialgesetzbuch auszusetzen. Wird der Kündigung zugestimmt, so darf die Zentralstelle nur aus gewichtigen Gründen abweichend entscheiden.</w:t>
      </w:r>
    </w:p>
    <w:p>
      <w:r>
        <w:rPr>
          <w:color w:val="555555"/>
          <w:sz w:val="17"/>
        </w:rPr>
        <w:t xml:space="preserve">Zitiervorschlag: § 10 BVSG NW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https://recht.nulegal.eu/gesetze/BVSG%20NW/10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