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BVSG NW (Nordrhein-Westfalen) — Geschützter Personenkreis</w:t>
      </w:r>
    </w:p>
    <w:p>
      <w:r>
        <w:rPr>
          <w:color w:val="555555"/>
          <w:sz w:val="18"/>
        </w:rPr>
        <w:t xml:space="preserve">Bergmannsversorgungsscheingesetz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Den Bergmannsversorgungsschein nach diesem Gesetz erhalten auf Antrag Bergleute, die während ihrer Untertagebeschäftigung im nordrhein-westfälischen Bergbau die Anspruchsvoraussetzungen des § 2 erfüllt haben.</w:t>
      </w:r>
    </w:p>
    <w:p>
      <w:r>
        <w:rPr>
          <w:color w:val="555555"/>
          <w:sz w:val="17"/>
        </w:rPr>
        <w:t xml:space="preserve">Zitiervorschlag: § 1 BVSG NW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https://recht.nulegal.eu/gesetze/BVSG%20NW/1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