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BVOTb NRW (Nordrhein-Westfalen) — Beihilfeanspruch</w:t>
      </w:r>
    </w:p>
    <w:p>
      <w:r>
        <w:rPr>
          <w:color w:val="555555"/>
          <w:sz w:val="18"/>
        </w:rPr>
        <w:t xml:space="preserve">Beihilfenverordnung Tarifbeschäftigte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Tarifbeschäftigte im Dienst des Landes, der Gemeinden, der Gemeindeverbände und der sonstigen der Aufsicht des Landes unterstehenden Körperschaften, Anstalten und Stiftungen des öffentlichen Rechts, erhalten in Geburts- und Krankheitsfällen nach Maßgabe der §§ 2 bis 4 Beihilfen in entsprechender Anwendung der für Beamte geltenden Bestimmungen. Voraussetzung ist, dass ihr Arbeitsverhältnis vor dem 1. Januar 1999 begründet wurde und weiterhin ununterbrochen fortbesteht. Aufwendungen, die nach einer Unterbrechung oder Beendigung des Arbeitsverhältnisses entstehen, sind nicht beihilfefähig.</w:t>
      </w:r>
    </w:p>
    <w:p>
      <w:r>
        <w:t xml:space="preserve">(2) Für Tarifbeschäftigte, die mit weniger als der regelmäßigen wöchentlichen Arbeitszeit beschäftigt sind, gilt Absatz 1 mit der Maßgabe, dass die Beihilfe anteilig entsprechend der arbeitsvertraglich vereinbarten durchschnittlichen wöchentlichen Arbeitszeit gezahlt wird. Dies gilt nicht für Tarifbeschäftigte, die auf Grund des § 6 Absatz 1 Nummern 2, 4, 5 und 6 und Absatz 2 SGB V versicherungsfrei sind.</w:t>
      </w:r>
    </w:p>
    <w:p>
      <w:r>
        <w:t xml:space="preserve">(3) Soweit ein Schadensersatzanspruch gegen Dritte besteht, werden Beihilfen nur gewährt, wenn der Anspruch in Höhe der - ohne Berücksichtigung des Schadensersatzanspruchs - zustehenden Beihilfe an den Arbeitgeber abgetreten wird. Der Anspruch darf nicht zum Nachteil des Anspruchsberechtigten geltend gemacht werden.</w:t>
      </w:r>
    </w:p>
    <w:p>
      <w:r>
        <w:rPr>
          <w:color w:val="555555"/>
          <w:sz w:val="17"/>
        </w:rPr>
        <w:t xml:space="preserve">Zitiervorschlag: § 1 BVOTb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https://recht.nulegal.eu/gesetze/BVOTb%20NRW/1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