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6b BVO NRW (Nordrhein-Westfalen) — Familienorientierte Rehabilitation</w:t>
      </w:r>
    </w:p>
    <w:p>
      <w:r>
        <w:rPr>
          <w:color w:val="555555"/>
          <w:sz w:val="18"/>
        </w:rPr>
        <w:t xml:space="preserve">Beihilfenverordnung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Aufwendungen für eine ärztlich verordnete Familientherapie sind für höchstens 23 Tage einschließlich der Reisetage im Kalenderjahr beihilfefähig, wenn ein Kind bis zum vollendeten 14. Lebensjahr an einer schweren chronischen Erkrankung insbesondere Krebserkrankung, Mukoviszidose, Zustand nach Operation am Herzen oder nach Organtransplantation leidet.</w:t>
      </w:r>
    </w:p>
    <w:p>
      <w:r>
        <w:t xml:space="preserve">(2) Für die Aufwendungen des erkrankten Kindes gilt § 6 entsprechend.</w:t>
      </w:r>
    </w:p>
    <w:p>
      <w:r>
        <w:t xml:space="preserve">(3) Für die Aufwendungen für Unterkunft und Verpflegung, Kurtaxe sowie Fahrtkosten der begleitenden Familienmitglieder (Eltern, Geschwister) wird pro Person ein Zuschuss von 40 Euro, höchstens aber insgesamt 120 Euro täglich gezahlt. Entstehen den begleitenden Familienangehörigen Aufwendungen für ärztliche Behandlungen, die in Zusammenhang mit der Behandlung des erkrankten Kindes stehen, sind diese Aufwendungen im Rahmen dieser Verordnung beihilfefähig; § 12 Absatz 2 Buchstabe b gilt entsprechend.</w:t>
      </w:r>
    </w:p>
    <w:p>
      <w:r>
        <w:t xml:space="preserve">(4) Ist für das erkrankte Kind eine Verlängerung der Rehabilitationsmaßnahme über 23 Tage hinaus medizinisch indiziert, gilt Absatz 3 für höchstens weitere 7 Tage.</w:t>
      </w:r>
    </w:p>
    <w:p>
      <w:r>
        <w:t xml:space="preserve">(5) Bestehen zwischen der aufgesuchten Einrichtung und einem Sozialversicherungsträger Verträge oder Verfahrensabsprachen, kann der dort vereinbarte Pauschalsatz pro Person als beihilfefähiger Betrag abweichend von Absatz 3 Satz 1 berücksichtigt werden, wenn dies für den Beihilfeberechtigten günstiger ist; § 12 Absatz 2 Buchstabe b gilt entsprechend.</w:t>
      </w:r>
    </w:p>
    <w:p>
      <w:r>
        <w:rPr>
          <w:color w:val="555555"/>
          <w:sz w:val="17"/>
        </w:rPr>
        <w:t xml:space="preserve">Zitiervorschlag: § 6b BVO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https://recht.nulegal.eu/gesetze/BVO%20NRW/6b</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