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4d BVO NRW (Nordrhein-Westfalen) — Verhaltenstherapie</w:t>
      </w:r>
    </w:p>
    <w:p>
      <w:r>
        <w:rPr>
          <w:color w:val="555555"/>
          <w:sz w:val="18"/>
        </w:rPr>
        <w:t xml:space="preserve">Beihilfenverordnung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Aufwendungen für eine Verhaltenstherapie (Nummern 870 und 871 der Anlage zur Gebührenordnung für Ärzte) sind je Krankheitsfall in folgendem Umfang beihilfefähig:</w:t>
      </w:r>
    </w:p>
    <w:p>
      <w:r>
        <w:t xml:space="preserve">Einzelbehandlung</w:t>
      </w:r>
    </w:p>
    <w:p>
      <w:r>
        <w:t xml:space="preserve">Gruppenbehandlung</w:t>
      </w:r>
    </w:p>
    <w:p>
      <w:r>
        <w:t xml:space="preserve">im Regelfall</w:t>
      </w:r>
    </w:p>
    <w:p>
      <w:r>
        <w:t xml:space="preserve">60 Sitzungen</w:t>
      </w:r>
    </w:p>
    <w:p>
      <w:r>
        <w:t xml:space="preserve">60 Sitzungen</w:t>
      </w:r>
    </w:p>
    <w:p>
      <w:r>
        <w:t xml:space="preserve">im Ausnahmefall</w:t>
      </w:r>
    </w:p>
    <w:p>
      <w:r>
        <w:t xml:space="preserve">20 weitere Sitzungen</w:t>
      </w:r>
    </w:p>
    <w:p>
      <w:r>
        <w:t xml:space="preserve">20 weitere Sitzungen</w:t>
      </w:r>
    </w:p>
    <w:p>
      <w:r>
        <w:t xml:space="preserve">(2) § 4c Absatz 1 Satz 2 bis 4 und Absatz 2 bis 4 gelten entsprechend.</w:t>
      </w:r>
    </w:p>
    <w:p>
      <w:r>
        <w:t xml:space="preserve">(3) Aufwendungen für eine Rational-Emotive Therapie sind nur im Rahmen eines umfassenden verhaltenstherapeutischen Behandlungskonzepts beihilfefähig.</w:t>
      </w:r>
    </w:p>
    <w:p>
      <w:r>
        <w:rPr>
          <w:color w:val="555555"/>
          <w:sz w:val="17"/>
        </w:rPr>
        <w:t xml:space="preserve">Zitiervorschlag: § 4d BVO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https://recht.nulegal.eu/gesetze/BVO%20NRW/4d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