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BVO 2 — Sach- und Arbeitsleistungen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Der Wert der Sach- und Arbeitsleistungen des Bauherrn, vor allem der Wert der Selbsthilfe, darf bei den Gesamtkosten mit dem Betrage angesetzt werden, der für eine gleichwertige Unternehmerleistung angesetzt werden könnte. Der Wert der Architekten-, Ingenieur- und Verwaltungsleistungen des Bauherrn darf mit den nach § 8 Abs. 2 Satz 2 Nr. 1 und Abs. 3 bis 5 zulässigen Höchstbeträgen angesetzt werden. Erbringt der Bauherr die Leistungen nur zu einem Teil, so darf nur der den Leistungen entsprechende Teil der Höchstbeträge als Eigenleistungen angesetzt werden.</w:t>
      </w:r>
    </w:p>
    <w:p>
      <w:r>
        <w:t xml:space="preserve">(2) Absatz 1 gilt entsprechend für den Wert der Sach- und Arbeitsleistungen des Bewerbers um ein Kaufeigenheim, eine Trägerkleinsiedlung, eine Kaufeigentumswohnung und eine Genossenschaftswohnung sowie für den Wert der Sach- und Arbeitsleistungen des Mieters.</w:t>
      </w:r>
    </w:p>
    <w:p>
      <w:r>
        <w:t xml:space="preserve">(3) Die Absätze 1 und 2 gelten entsprechend, wenn der Bauherr, der Bewerber oder der Mieter Sach- und Arbeitsleistungen mit eigenen Arbeitnehmern im Rahmen seiner gewerblichen oder unternehmerischen Tätigkeit oder auf Grund seines Berufes erbringt.</w:t>
      </w:r>
    </w:p>
    <w:p>
      <w:r>
        <w:rPr>
          <w:color w:val="555555"/>
          <w:sz w:val="17"/>
        </w:rPr>
        <w:t xml:space="preserve">Zitiervorschlag: § 9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