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BVO 2 — Kosten des Baugrundstücks</w:t>
      </w:r>
    </w:p>
    <w:p>
      <w:r>
        <w:rPr>
          <w:color w:val="555555"/>
          <w:sz w:val="18"/>
        </w:rPr>
        <w:t xml:space="preserve">Zweite Berechnungsverordnung</w:t>
      </w:r>
    </w:p>
    <w:p>
      <w:r>
        <w:rPr>
          <w:color w:val="555555"/>
          <w:sz w:val="18"/>
        </w:rPr>
        <w:t xml:space="preserve">Stand: 10.06.2019 (konsolidierte Textfassung, kein amtliches Inkrafttretensdatum)</w:t>
      </w:r>
    </w:p>
    <w:p>
      <w:r>
        <w:t xml:space="preserve">(1) Als Wert des Baugrundstücks darf höchstens angesetzt werden,</w:t>
      </w:r>
    </w:p>
    <w:p>
      <w:pPr>
        <w:ind w:left="420"/>
      </w:pPr>
      <w:r>
        <w:t xml:space="preserve">1. wenn das Baugrundstück dem Bauherrn zur Förderung des Wohnungsbaues unter dem Verkehrswert überlassen worden ist, der Kaufpreis,</w:t>
      </w:r>
    </w:p>
    <w:p>
      <w:pPr>
        <w:ind w:left="420"/>
      </w:pPr>
      <w:r>
        <w:t xml:space="preserve">2. wenn das Baugrundstück durch Enteignung zur Durchführung des Bauvorhabens vom Bauherrn erworben worden ist, die Entschädigung,</w:t>
      </w:r>
    </w:p>
    <w:p>
      <w:pPr>
        <w:ind w:left="420"/>
      </w:pPr>
      <w:r>
        <w:t xml:space="preserve">3. in anderen Fällen der Verkehrswert in dem nach § 4 maßgebenden Zeitpunkt oder der Kaufpreis, es sei denn, daß er unangemessen hoch gewesen ist.</w:t>
      </w:r>
    </w:p>
    <w:p>
      <w:r>
        <w:t xml:space="preserve">Für den Begriff des Verkehrswertes gilt § 194 des Baugesetzbuchs. Im steuerbegünstigten Wohnungsbau dürfen neben dem Verkehrswert Kosten der Zwischenfinanzierung, Kapitalkosten und Steuerbelastungen des Baugrundstücks, die auf die Bauzeit fallen, nicht angesetzt werden. Ist die Wirtschaftlichkeitsberechnung nach § 87a des Zweiten Wohnungsbaugesetzes aufzustellen, so darf der Bauherr den Wert des Baugrundstücks nach Satz 1 ansetzen, soweit nicht mit dem Darlehens- oder Zuschußgeber vertraglich ein anderer Ansatz vereinbart ist.</w:t>
      </w:r>
    </w:p>
    <w:p>
      <w:r>
        <w:t xml:space="preserve">(2) Bei Ausbau durch Umwandlung oder Umbau darf als Wert des Baugrundstücks höchstens der Verkehrswert vergleichbarer unbebauter Grundstücke für Wohngebäude in dem nach § 4 maßgebenden Zeitpunkt angesetzt werden. Der Wert des Baugrundstücks darf nicht angesetzt werden beim Ausbau durch Umbau einer Wohnung, deren Bau bereits mit öffentlichen Mitteln oder mit Wohnungsfürsorgemitteln gefördert worden ist.</w:t>
      </w:r>
    </w:p>
    <w:p>
      <w:r>
        <w:t xml:space="preserve">(3) Soweit Preisvorschriften in dem nach § 4 maßgebenden Zeitpunkt bestanden haben, dürfen höchstens die danach zulässigen Preise zugrunde gelegt werden.</w:t>
      </w:r>
    </w:p>
    <w:p>
      <w:r>
        <w:t xml:space="preserve">(4) Erwerbskosten und Erschließungskosten dürfen, vorbehaltlich der §§ 9 und 10, nur angesetzt werden, soweit sie tatsächlich entstehen oder mit ihrem Entstehen sicher gerechnet werden kann.</w:t>
      </w:r>
    </w:p>
    <w:p>
      <w:r>
        <w:t xml:space="preserve">(5) Wird die Erschließung im Zusammenhang mit dem Bauvorhaben durchgeführt, so darf außer den Erschließungskosten nur der Wert des nicht erschlossenen Baugrundstücks nach Absatz 1 angesetzt werden. Ist die Erschließung bereits vorher ganz oder teilweise durchgeführt worden, so kann der Wert des ganz oder teilweise erschlossenen Baugrundstücks nach Absatz 1 angesetzt werden, wenn ein Ansatz von Erschließungskosten insoweit unterbleibt.</w:t>
      </w:r>
    </w:p>
    <w:p>
      <w:r>
        <w:t xml:space="preserve">(6) Liegt das Baugrundstück in dem nach § 4 maßgebenden Zeitpunkt in einem nach dem Städtebauförderungsgesetz oder dem Baugesetzbuch förmlich festgelegten Sanierungsgebiet, Ersatzgebiet, Ergänzungsgebiet oder Entwicklungsbereich und wird die Maßnahme nicht im vereinfachten Verfahren durchgeführt, dürfen abweichend von Absatz 1 Satz 1 und den Absätzen 2, 4 und 5 als Wert des Baugrundstücks und an Stelle der Erschließungskosten höchstens angesetzt werden</w:t>
      </w:r>
    </w:p>
    <w:p>
      <w:pPr>
        <w:ind w:left="420"/>
      </w:pPr>
      <w:r>
        <w:t xml:space="preserve">1. der Wert, der sich für das unbebaute Grundstück ergeben würde, wenn eine Sanierung oder Entwicklung weder beabsichtigt noch durchgeführt worden wäre, der Kaufpreis für ein nach der förmlichen Festlegung erworbenes Grundstück, soweit er zulässig gewesen ist, oder, wenn eine Umlegung nach Maßgabe des § 16 des Städtebauförderungsgesetzes oder des § 153 Abs. 5 des Baugesetzbuches durchgeführt worden ist, der Verkehrswert, der der Zuteilung des Grundstücks zugrunde gelegt worden ist,</w:t>
      </w:r>
    </w:p>
    <w:p>
      <w:pPr>
        <w:ind w:left="420"/>
      </w:pPr>
      <w:r>
        <w:t xml:space="preserve">2. der Ausgleichsbetrag, der für das Grundstück zu entrichten ist,</w:t>
      </w:r>
    </w:p>
    <w:p>
      <w:pPr>
        <w:ind w:left="420"/>
      </w:pPr>
      <w:r>
        <w:t xml:space="preserve">3. der Betrag, der auf den Ausgleichsbetrag angerechnet wird, soweit die Anrechnung nicht auf Umständen beruht, die in dem nach Nummer 1 angesetzten Wert des Grundstücks berücksichtigt sind.</w:t>
      </w:r>
    </w:p>
    <w:p>
      <w:r>
        <w:rPr>
          <w:color w:val="555555"/>
          <w:sz w:val="17"/>
        </w:rPr>
        <w:t xml:space="preserve">Zitiervorschlag: § 6 BVO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https://recht.nulegal.eu/gesetze/BVO%202/6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