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BVO 2</w:t>
      </w:r>
    </w:p>
    <w:p>
      <w:r>
        <w:rPr>
          <w:color w:val="555555"/>
          <w:sz w:val="18"/>
        </w:rPr>
        <w:t xml:space="preserve">Zweite Berechnungsverordnung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(Inkrafttreten)</w:t>
      </w:r>
    </w:p>
    <w:p>
      <w:r>
        <w:rPr>
          <w:color w:val="555555"/>
          <w:sz w:val="17"/>
        </w:rPr>
        <w:t xml:space="preserve">Zitiervorschlag: § 50 BVO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https://recht.nulegal.eu/gesetze/BVO%202/50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