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4b BVO 2 — Berechnung für steuerbegünstigten Wohnraum, der mit Aufwendungszuschüssen oder Aufwendungsdarlehen gefördert ist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Wirtschaftlichkeit für steuerbegünstigte Wohnungen, die mit Aufwendungszuschüssen oder Aufwendungsdarlehen nach § 88 des Zweiten Wohnungsbaugesetzes gefördert worden sind, zu berechnen, so sind die Vorschriften für öffentlich geförderte Wohnungen entsprechend anzuwenden. Bei der entsprechenden Anwendung von § 4 Abs. 1 sind die Verhältnisse im Zeitpunkt der Bewilligung der Aufwendungszuschüsse oder Aufwendungsdarlehen zugrunde zu legen.</w:t>
      </w:r>
    </w:p>
    <w:p>
      <w:r>
        <w:t xml:space="preserve">(2) Sind die in Absatz 1 bezeichneten Wohnungen auch mit einem Darlehen oder einem Zuschuß aus Wohnungsfürsorgemitteln gefördert worden, so sind die Vorschriften für steuerbegünstigte Wohnungen mit den Maßgaben aus § 6 Abs. 1 Satz 4 und § 20 Abs. 3 anzuwenden.</w:t>
      </w:r>
    </w:p>
    <w:p>
      <w:r>
        <w:rPr>
          <w:color w:val="555555"/>
          <w:sz w:val="17"/>
        </w:rPr>
        <w:t xml:space="preserve">Zitiervorschlag: § 4b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