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BVO 2 — Überleitungsvorschriften</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Soweit bis zum 31. Oktober 1957 für den in § 1 Abs. 1 und § 1a Abs. 2 Nr. 2 und 3 bezeichneten Wohnraum Wirtschaftlichkeit oder Wohnfläche nach der Verordnung über Wirtschaftlichkeits- und Wohnflächenberechnung für neugeschaffenen Wohnraum (Berechnungsverordnung) vom 20. November 1950 (BGBl. S. 753) berechnet worden ist, bleibt es für diese Berechnungen dabei.</w:t>
      </w:r>
    </w:p>
    <w:p>
      <w:r>
        <w:t xml:space="preserve">(2) § 2 Abs. 8, § 18 Abs. 4 und § 23 Abs. 5 sind in der mit Inkrafttreten dieser Verordnung geltenden Fassung anzuwenden, wenn die Darlehen nach dem 31. Dezember 1989 vorzeitig zurückgezahlt oder abgelöst wurden oder nach diesem Zeitpunkt auf die weitere Auszahlung von Zuschüssen zur Deckung der laufenden Aufwendungen oder von Zinszuschüssen verzichtet wurde.</w:t>
      </w:r>
    </w:p>
    <w:p>
      <w:r>
        <w:t xml:space="preserve">(3) Sind für ein Gebäude oder eine Wirtschaftseinheit auf Grund von Ausbau oder Erweiterung Wirtschaftlichkeitsberechnungen oder Teilwirtschaftlichkeitsberechnungen vor dem 29. August 1990 aufgestellt worden, sind die Regelung der §§ 32, 34 und 40 in der bis zum 29. August 1990 geltenden Fassung anzuwenden.</w:t>
      </w:r>
    </w:p>
    <w:p>
      <w:r>
        <w:rPr>
          <w:color w:val="555555"/>
          <w:sz w:val="17"/>
        </w:rPr>
        <w:t xml:space="preserve">Zitiervorschlag: § 46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