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BVO 2 — Befugnisse des Bauherrn und seines Rechtsnachfolgers</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(1) Läßt diese Verordnung eine Wahl zwischen zwei oder mehreren Möglichkeiten zu oder setzt sie bei einer Berechnung einen Rahmen, so ist der Bauherr, soweit sich aus dieser Verordnung nichts anderes ergibt, befugt, die Wahl vorzunehmen oder den Rahmen auszufüllen.</w:t>
      </w:r>
    </w:p>
    <w:p>
      <w:r>
        <w:t xml:space="preserve">(2) Die Befugnisse des Bauherrn nach dieser Verordnung stehen auch seinem Rechtsnachfolger zu. Soweit der Bauherr nach dieser Verordnung Umstände zu vertreten hat, hat sie auch der Rechtsnachfolger zu vertreten.</w:t>
      </w:r>
    </w:p>
    <w:p>
      <w:r>
        <w:rPr>
          <w:color w:val="555555"/>
          <w:sz w:val="17"/>
        </w:rPr>
        <w:t xml:space="preserve">Zitiervorschlag: § 45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