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40b BVO 2 — Aufstellung der Lastenberechnung durch den Erwerber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Eigentümer das Gebäude oder die Wohnung auf Grund eines Veräußerungsvertrages gegen Entgelt erworben, so ist die Lastenberechnung nach § 40a Abs. 2 und 3 mit folgenden Maßgaben aufzustellen:</w:t>
      </w:r>
    </w:p>
    <w:p>
      <w:pPr>
        <w:ind w:left="420"/>
      </w:pPr>
      <w:r>
        <w:t xml:space="preserve">1. An die Stelle der Gesamtkosten treten der angemessene Erwerbspreis, die auf ihn fallenden Erwerbskosten und die nach dem Erwerb entstandenen Kosten nach § 11;</w:t>
      </w:r>
    </w:p>
    <w:p>
      <w:pPr>
        <w:ind w:left="420"/>
      </w:pPr>
      <w:r>
        <w:t xml:space="preserve">2. im Finanzierungsplan sind die Mittel auszuweisen, die zur Deckung des Erwerbspreises und der in Nummer 1 bezeichneten Kosten dienen.</w:t>
      </w:r>
    </w:p>
    <w:p>
      <w:r>
        <w:t xml:space="preserve">(2) Für die Aufstellung der Lastenberechnung gelten im übrigen § 2 Abs. 3 und 5 und die §§ 12 bis 15 entsprechend. § 12 Abs. 4 Satz 2 gilt dabei mit der Maßgabe, daß an Stelle der Erhöhung der Kapitalkosten die Erhöhung der Kapitalkosten und Tilgungen zu berücksichtigen ist.</w:t>
      </w:r>
    </w:p>
    <w:p>
      <w:r>
        <w:t xml:space="preserve">(3) Die Absätze 1 und 2 gelten entsprechend für die Aufstellung der Lastenberechnung durch einen Bewerber nach § 40 Satz 2.</w:t>
      </w:r>
    </w:p>
    <w:p>
      <w:r>
        <w:rPr>
          <w:color w:val="555555"/>
          <w:sz w:val="17"/>
        </w:rPr>
        <w:t xml:space="preserve">Zitiervorschlag: § 40b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