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BVO 2 — Aufstellung der Lastenberechnung durch den Bauherrn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Ist der Eigentümer der Bauherr, so kann er die Lastenberechnung auf Grund einer Wirtschaftlichkeitsberechnung aufstellen. In diesem Fall beschränkt sich die Lastenberechnung auf die Ermittlung der Belastung nach den §§ 40c bis 41.</w:t>
      </w:r>
    </w:p>
    <w:p>
      <w:r>
        <w:t xml:space="preserve">(2) Wird die Lastenberechnung vom Bauherrn nicht auf Grund einer Wirtschaftlichkeitsberechnung aufgestellt, so muß sie enthalten</w:t>
      </w:r>
    </w:p>
    <w:p>
      <w:pPr>
        <w:ind w:left="420"/>
      </w:pPr>
      <w:r>
        <w:t xml:space="preserve">1. die Grundstücks- und Gebäudebeschreibung,</w:t>
      </w:r>
    </w:p>
    <w:p>
      <w:pPr>
        <w:ind w:left="420"/>
      </w:pPr>
      <w:r>
        <w:t xml:space="preserve">2. die Berechnung der Gesamtkosten,</w:t>
      </w:r>
    </w:p>
    <w:p>
      <w:pPr>
        <w:ind w:left="420"/>
      </w:pPr>
      <w:r>
        <w:t xml:space="preserve">3. den Finanzierungsplan,</w:t>
      </w:r>
    </w:p>
    <w:p>
      <w:pPr>
        <w:ind w:left="420"/>
      </w:pPr>
      <w:r>
        <w:t xml:space="preserve">4. die Ermittlung der Belastung nach den §§ 40c bis 41.</w:t>
      </w:r>
    </w:p>
    <w:p>
      <w:r>
        <w:t xml:space="preserve">(3) Die Lastenberechnung ist aufzustellen</w:t>
      </w:r>
    </w:p>
    <w:p>
      <w:pPr>
        <w:ind w:left="420"/>
      </w:pPr>
      <w:r>
        <w:t xml:space="preserve">1. bei einem Eigenheim, einer Kleinsiedlung oder einem Kaufeigenheim für das Gebäude,</w:t>
      </w:r>
    </w:p>
    <w:p>
      <w:pPr>
        <w:ind w:left="420"/>
      </w:pPr>
      <w:r>
        <w:t xml:space="preserve">2. bei einer eigengenutzten Eigentumswohnung oder einer Kaufeigentumswohnung</w:t>
      </w:r>
    </w:p>
    <w:p>
      <w:pPr>
        <w:ind w:left="780"/>
      </w:pPr>
      <w:r>
        <w:t xml:space="preserve">a) für die im Sondereigentum stehende Wohnung und den damit verbundenen Miteigentumsanteil an dem gemeinschaftlichen Eigentum oder</w:t>
      </w:r>
    </w:p>
    <w:p>
      <w:pPr>
        <w:ind w:left="780"/>
      </w:pPr>
      <w:r>
        <w:t xml:space="preserve">b) in der Weise, daß die Berechnung für die Eigentumswohnungen oder Kaufeigentumswohnungen des Gebäudes oder der Wirtschaftseinheit (§ 2 Abs. 2) zusammengefaßt und die Gesamtkosten nach dem Verhältnis der Miteigentumsanteile aufgeteilt werden,</w:t>
      </w:r>
    </w:p>
    <w:p>
      <w:pPr>
        <w:ind w:left="420"/>
      </w:pPr>
      <w:r>
        <w:t xml:space="preserve">3. bei einer Wohnung in der Rechtsform des eigentumsähnlichen Dauerwohnrechts für die Wohnung und den Teil des Grundstücks, auf den sich das Dauerwohnrecht erstreckt.</w:t>
      </w:r>
    </w:p>
    <w:p>
      <w:r>
        <w:t xml:space="preserve">(4) Für die Aufstellung der Lastenberechnung gelten im übrigen § 2 Abs. 3 und 5, § 4 Abs. 1 bis 3, § 4a Abs. 1 bis 3, 5 sowie die §§ 5 bis 15 entsprechend. § 12 Abs. 4 Satz 2 gilt dabei mit der Maßgabe, daß anstelle der Erhöhung der Kapitalkosten die Erhöhung der Kapitalkosten und Tilgungen zu berücksichtigen ist.</w:t>
      </w:r>
    </w:p>
    <w:p>
      <w:r>
        <w:rPr>
          <w:color w:val="555555"/>
          <w:sz w:val="17"/>
        </w:rPr>
        <w:t xml:space="preserve">Zitiervorschlag: § 40a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