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BVO 2 — Lastenberechnung</w:t>
      </w:r>
    </w:p>
    <w:p>
      <w:r>
        <w:rPr>
          <w:color w:val="555555"/>
          <w:sz w:val="18"/>
        </w:rPr>
        <w:t xml:space="preserve">Zweite Berechnungsverordnung</w:t>
      </w:r>
    </w:p>
    <w:p>
      <w:r>
        <w:rPr>
          <w:color w:val="555555"/>
          <w:sz w:val="18"/>
        </w:rPr>
        <w:t xml:space="preserve">Stand: 10.06.2019 (konsolidierte Textfassung, kein amtliches Inkrafttretensdatum)</w:t>
      </w:r>
    </w:p>
    <w:p>
      <w:r>
        <w:t xml:space="preserve">(1) Die Belastung des Eigentümers eines Eigenheims, einer Kleinsiedlung oder einer eigengenutzten Eigentumswohnung oder des Inhabers eines eigengenutzten eigentumsähnlichen Dauerwohnrechts wird durch eine Berechnung (Lastenberechnung) ermittelt. Das gleiche gilt für die Belastung des Bewerbers um ein Kaufeigenheim, eine Trägerkleinsiedlung, eine Kaufeigentumswohnung oder eine Wohnung in der Rechtsform des eigentumsähnlichen Dauerwohnrechts.</w:t>
      </w:r>
    </w:p>
    <w:p>
      <w:r>
        <w:t xml:space="preserve">(2) Wird durch Ausbau oder Erweiterung neuer, fremden Wohnzwecken dienender Wohnraum unter Einsatz öffentlicher Mittel geschaffen, ist hierfür eine Teilwirtschaftlichkeitsberechnung aufzustellen. Die Regelungen des § 32 Abs. 4a und des § 34 Abs. 4 sind entsprechend anzuwenden.</w:t>
      </w:r>
    </w:p>
    <w:p>
      <w:r>
        <w:rPr>
          <w:color w:val="555555"/>
          <w:sz w:val="17"/>
        </w:rPr>
        <w:t xml:space="preserve">Zitiervorschlag: § 40 BVO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https://recht.nulegal.eu/gesetze/BVO%202/40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