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BVO 2 — Gesamtwirtschaftlichkeitsberechnung</w:t>
      </w:r>
    </w:p>
    <w:p>
      <w:r>
        <w:rPr>
          <w:color w:val="555555"/>
          <w:sz w:val="18"/>
        </w:rPr>
        <w:t xml:space="preserve">Zweite Berechnungsverordnung</w:t>
      </w:r>
    </w:p>
    <w:p>
      <w:r>
        <w:rPr>
          <w:color w:val="555555"/>
          <w:sz w:val="18"/>
        </w:rPr>
        <w:t xml:space="preserve">Stand: 10.06.2019 (konsolidierte Textfassung, kein amtliches Inkrafttretensdatum)</w:t>
      </w:r>
    </w:p>
    <w:p>
      <w:r>
        <w:t xml:space="preserve">(1) In der Gesamtwirtschaftlichkeitsberechnung ist die Gegenüberstellung der laufenden Aufwendungen und der Erträge für das gesamte Gebäude oder die gesamte Wirtschaftseinheit vorzunehmen und sodann der Teil der laufenden Aufwendungen und der Erträge auszugliedern, der auf den öffentlich geförderten Wohnraum entfällt.</w:t>
      </w:r>
    </w:p>
    <w:p>
      <w:r>
        <w:t xml:space="preserve">(2) Bewirtschaftungskosten für Geschäftsraum sind mit den Beträgen anzusetzen, die zur ordentlichen Bewirtschaftung des Geschäftsraums laufend erforderlich sind.</w:t>
      </w:r>
    </w:p>
    <w:p>
      <w:r>
        <w:t xml:space="preserve">(3) Zur Ausgliederung des Teils der laufenden Aufwendungen, der auf den öffentlich geförderten Wohnraum fällt, ist der Gesamtbetrag der laufenden Aufwendungen auf diesen Wohnraum und auf den anderen Wohnraum sowie den Geschäftsraum angemessen zu verteilen. Laufende Aufwendungen oder Mehrbeträge laufender Aufwendungen, die allein durch den öffentlich geförderten Wohnraum oder durch den anderen Wohnraum oder den Geschäftsraum entstehen, dürfen jeweils nur dem in Betracht kommenden Raum zugerechnet werden.</w:t>
      </w:r>
    </w:p>
    <w:p>
      <w:r>
        <w:t xml:space="preserve">(4) Wird für öffentlich geförderten Wohnraum eine Gesamtwirtschaftlichkeitsberechnung aufgestellt, so finden die Absätze 1 bis 3 auch dann Anwendung, wenn in der Berechnung, die der Bewilligung der öffentlichen Mittel zugrunde gelegt worden ist, eine Ausgliederung des auf den öffentlich geförderten Wohnraum fallenden Teiles der laufenden Aufwendungen nicht oder nach einem anderen Verteilungsmaßstab vorgenommen worden ist oder wenn Bewirtschaftungskosten für Geschäftsraum nicht oder nur in geringerer Höhe in Anspruch genommen oder anerkannt worden sind oder wenn auf Ansätze ganz oder teilweise verzichtet worden ist.</w:t>
      </w:r>
    </w:p>
    <w:p>
      <w:r>
        <w:rPr>
          <w:color w:val="555555"/>
          <w:sz w:val="17"/>
        </w:rPr>
        <w:t xml:space="preserve">Zitiervorschlag: § 37 BVO 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https://recht.nulegal.eu/gesetze/BVO%202/37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