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BVO 2 — Laufende Aufwendungen und Erträge in der Teilwirtschaftlichkeitsberechnung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In der Teilwirtschaftlichkeitsberechnung sind die laufenden Aufwendungen anzusetzen, die für den Teil des Gebäudes oder der Wirtschaftseinheit, der Gegenstand der Berechnung ist, entstehen.</w:t>
      </w:r>
    </w:p>
    <w:p>
      <w:r>
        <w:t xml:space="preserve">(2) Bewirtschaftungskosten, die für das ganze Gebäude oder die ganze Wirtschaftseinheit entstehen, sind nur mit dem Teil anzusetzen, der sich nach dem Verhältnis der Teilung der Gesamtkosten nach § 34 ergibt. Bewirtschaftungskosten oder Mehrbeträge von Bewirtschaftungskosten, die allein durch den Wohn- oder Geschäftsraum, der nicht Gegenstand der Berechnung ist, entstehen, dürfen nur diesem zugerechnet werden. Bei Wiederherstellung, Ausbau und Erweiterung dürfen Bewirtschaftungskosten nur insoweit angesetzt werden, als sie für den Teil des Gebäudes oder der Wirtschaftseinheit, der Gegenstand der Berechnung ist, zusätzlich entstehen; ist auch für den vorhanden gewesenen Wohnraum eine Teilwirtschaftlichkeitsberechnung aufzustellen, so dürfen Bewirtschaftungskosten nur nach den Sätzen 1 und 2 angesetzt werden.</w:t>
      </w:r>
    </w:p>
    <w:p>
      <w:r>
        <w:t xml:space="preserve">(3) In der Teilwirtschaftlichkeitsberechnung sind die Erträge auszuweisen, die sich für den Teil des Gebäudes oder der Wirtschaftseinheit, der Gegenstand der Berechnung ist, nach § 31 ergeben.</w:t>
      </w:r>
    </w:p>
    <w:p>
      <w:r>
        <w:rPr>
          <w:color w:val="555555"/>
          <w:sz w:val="17"/>
        </w:rPr>
        <w:t xml:space="preserve">Zitiervorschlag: § 36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