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BVO 2 — Teilwirtschaftlichkeitsberechnung</w:t>
      </w:r>
    </w:p>
    <w:p>
      <w:r>
        <w:rPr>
          <w:color w:val="555555"/>
          <w:sz w:val="18"/>
        </w:rPr>
        <w:t xml:space="preserve">Zweite Berechnungsverordnung</w:t>
      </w:r>
    </w:p>
    <w:p>
      <w:r>
        <w:rPr>
          <w:color w:val="555555"/>
          <w:sz w:val="18"/>
        </w:rPr>
        <w:t xml:space="preserve">Stand: 10.06.2019 (konsolidierte Textfassung, kein amtliches Inkrafttretensdatum)</w:t>
      </w:r>
    </w:p>
    <w:p>
      <w:r>
        <w:t xml:space="preserve">In der Teilwirtschaftlichkeitsberechnung ist die Gegenüberstellung der laufenden Aufwendungen und der Erträge auf den Teil des Gebäudes oder der Wirtschaftseinheit zu beschränken, der den Wohnraum enthält, für den die Berechnung aufzustellen ist.</w:t>
      </w:r>
    </w:p>
    <w:p>
      <w:r>
        <w:rPr>
          <w:color w:val="555555"/>
          <w:sz w:val="17"/>
        </w:rPr>
        <w:t xml:space="preserve">Zitiervorschlag: § 33 BVO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https://recht.nulegal.eu/gesetze/BVO%202/33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