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BVO 2 — Erträge</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Erträge sind die Einnahmen aus Miet- und Pachtverträgen sowie Vergütungen, die bei ordentlicher Bewirtschaftung des Gebäudes oder der Wirtschaftseinheit nachhaltig erzielt werden können. Umlagen und Zuschläge, die zulässigerweise neben der Einzelmiete erhoben werden, bleiben als Ertrag unberücksichtigt.</w:t>
      </w:r>
    </w:p>
    <w:p>
      <w:r>
        <w:t xml:space="preserve">(2) Als Ertrag gilt auch der Miet- oder Nutzungswert von Räumen oder Flächen, die vom Eigentümer (Erbbauberechtigten) selbst benutzt werden oder auf Grund eines anderen Rechtsverhältnisses als einem Miet- oder Pachtvertrag überlassen sind.</w:t>
      </w:r>
    </w:p>
    <w:p>
      <w:r>
        <w:t xml:space="preserve">(3) Wird die Wirtschaftlichkeitsberechnung aufgestellt, um für Wohnraum die zur Deckung der laufenden Aufwendungen erforderliche Miete (Kostenmiete) zu ermitteln, so ist der Gesamtbetrag der Erträge in derselben Höhe wie der Gesamtbetrag der laufenden Aufwendungen auszuweisen. Aus dem nach Abzug der Vergütungen verbleibenden Betrag ist die Miete nach den für ihre Ermittlung maßgebenden Vorschriften zu berechnen.</w:t>
      </w:r>
    </w:p>
    <w:p>
      <w:r>
        <w:rPr>
          <w:color w:val="555555"/>
          <w:sz w:val="17"/>
        </w:rPr>
        <w:t xml:space="preserve">Zitiervorschlag: § 31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