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BVO 2 — Änderung der Bewirtschaftungskosten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Haben sich die Verwaltungskosten oder die Instandhaltungskosten geändert</w:t>
      </w:r>
    </w:p>
    <w:p>
      <w:pPr>
        <w:ind w:left="420"/>
      </w:pPr>
      <w:r>
        <w:t xml:space="preserve">1. im öffentlich geförderten sozialen Wohnungsbau nach der Bewilligung der öffentlichen Mittel gegenüber dem bei der Bewilligung auf Grund der Wirtschaftlichkeitsberechnung zugrunde gelegten Betrag,</w:t>
      </w:r>
    </w:p>
    <w:p>
      <w:pPr>
        <w:ind w:left="420"/>
      </w:pPr>
      <w:r>
        <w:t xml:space="preserve">2. im steuerbegünstigten Wohnungsbau nach der Bezugsfertigkeit,</w:t>
      </w:r>
    </w:p>
    <w:p>
      <w:r>
        <w:t xml:space="preserve">so sind in Wirtschaftlichkeitsberechnungen, die nach diesen Zeitpunkten aufgestellt werden, die geänderten Kosten anzusetzen. Dies gilt bei einer Erhöhung dieser Kosten nur, wenn sie auf Umständen beruht, die der Bauherr nicht zu vertreten hat. Die Verwaltungskosten dürfen bis zu der in § 26 zugelassenen Höhe, die Instandhaltungskosten bis zu der in § 28 zugelassenen Höhe ohne Nachweis einer Kostenerhöhung angesetzt werden, es sei denn, daß der Ansatz im Einzelfall unter Berücksichtigung der jeweiligen Verhältnisse nicht angemessen ist. Eine Überschreitung der für die Verwaltungskosten und die Instandhaltungskosten zugelassenen Sätze ist nicht zulässig.</w:t>
      </w:r>
    </w:p>
    <w:p>
      <w:r>
        <w:t xml:space="preserve">(2) Der Ansatz für die Abschreibung ist in Wirtschaftlichkeitsberechnungen, die nach den in Absatz 1 bezeichneten Zeitpunkten aufgestellt werden, zu ändern, wenn nach § 11 Abs. 1 bis 3 geänderte Gesamtkosten angesetzt werden; eine Änderung des für die Abschreibung angesetzten Vomhundertsatzes ist unzulässig.</w:t>
      </w:r>
    </w:p>
    <w:p>
      <w:r>
        <w:t xml:space="preserve">(3) Der Ansatz für das Mietausfallwagnis ist in Wirtschaftlichkeitsberechnungen, die nach den in Absatz 1 bezeichneten Zeitpunkten aufgestellt werden, zu ändern, wenn sich die Jahresmiete ändert; eine Änderung des Vomhundertsatzes für das Mietausfallwagnis ist zulässig, wenn sich die Voraussetzungen für seine Bemessung nachhaltig geändert haben.</w:t>
      </w:r>
    </w:p>
    <w:p>
      <w:r>
        <w:t xml:space="preserve">(4) Werden nach § 11 Abs. 4 bis 6 die Kosten von baulichen Änderungen den Gesamtkosten hinzugerechnet, so dürfen die infolge der Änderungen entstehenden Bewirtschaftungskosten den anderen Bewirtschaftungskosten hinzugerechnet werden. Für die entstehenden Abschreibungen und Instandhaltungskosten gelten die §§ 25 und 28 Abs. 2 bis 6 entsprechend.</w:t>
      </w:r>
    </w:p>
    <w:p>
      <w:r>
        <w:rPr>
          <w:color w:val="555555"/>
          <w:sz w:val="17"/>
        </w:rPr>
        <w:t xml:space="preserve">Zitiervorschlag: § 30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