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BVO 2 — Gliederung der Berechnung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Wirtschaftlichkeitsberechnung muß enthalten</w:t>
      </w:r>
    </w:p>
    <w:p>
      <w:pPr>
        <w:ind w:left="420"/>
      </w:pPr>
      <w:r>
        <w:t xml:space="preserve">1. die Grundstücks- und Gebäudebeschreibung,</w:t>
      </w:r>
    </w:p>
    <w:p>
      <w:pPr>
        <w:ind w:left="420"/>
      </w:pPr>
      <w:r>
        <w:t xml:space="preserve">2. die Berechnung der Gesamtkosten,</w:t>
      </w:r>
    </w:p>
    <w:p>
      <w:pPr>
        <w:ind w:left="420"/>
      </w:pPr>
      <w:r>
        <w:t xml:space="preserve">3. den Finanzierungsplan,</w:t>
      </w:r>
    </w:p>
    <w:p>
      <w:pPr>
        <w:ind w:left="420"/>
      </w:pPr>
      <w:r>
        <w:t xml:space="preserve">4. die laufenden Aufwendungen und die Erträge.</w:t>
      </w:r>
    </w:p>
    <w:p>
      <w:r>
        <w:rPr>
          <w:color w:val="555555"/>
          <w:sz w:val="17"/>
        </w:rPr>
        <w:t xml:space="preserve">Zitiervorschlag: § 3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