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BVO 2 — Abschreibung</w:t>
      </w:r>
    </w:p>
    <w:p>
      <w:r>
        <w:rPr>
          <w:color w:val="555555"/>
          <w:sz w:val="18"/>
        </w:rPr>
        <w:t xml:space="preserve">Zweite Berechnungsverordnung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Abschreibung ist der auf jedes Jahr der Nutzung fallende Anteil der verbrauchsbedingten Wertminderung der Gebäude, Anlagen und Einrichtungen. Die Abschreibung ist nach der mutmaßlichen Nutzungsdauer zu errechnen.</w:t>
      </w:r>
    </w:p>
    <w:p>
      <w:r>
        <w:t xml:space="preserve">(2) Die Abschreibung soll bei Gebäuden 1 vom Hundert der Baukosten, bei Erbbaurechten 1 vom Hundert der Gesamtkosten nicht übersteigen, sofern nicht besondere Umstände eine Überschreitung rechtfertigen.</w:t>
      </w:r>
    </w:p>
    <w:p>
      <w:r>
        <w:t xml:space="preserve">(3) Als besondere Abschreibung für Anlagen und Einrichtungen dürfen zusätzlich angesetzt werden von den in der Wirtschaftlichkeitsberechnung enthaltenen Kosten</w:t>
      </w:r>
    </w:p>
    <w:p>
      <w:r>
        <w:rPr>
          <w:rFonts w:ascii="Courier New" w:hAnsi="Courier New"/>
          <w:sz w:val="17"/>
        </w:rPr>
        <w:t xml:space="preserve">1.    der Öfen und Herde    3 vom Hundert,</w:t>
      </w:r>
    </w:p>
    <w:p>
      <w:r>
        <w:rPr>
          <w:rFonts w:ascii="Courier New" w:hAnsi="Courier New"/>
          <w:sz w:val="17"/>
        </w:rPr>
        <w:t xml:space="preserve">2.    der Einbaumöbel    3 vom Hundert,</w:t>
      </w:r>
    </w:p>
    <w:p>
      <w:r>
        <w:rPr>
          <w:rFonts w:ascii="Courier New" w:hAnsi="Courier New"/>
          <w:sz w:val="17"/>
        </w:rPr>
        <w:t xml:space="preserve">3.    der Anlagen und der Geräte zur Versorgung mit Warmwasser, sofern sie nicht mit einer Sammelheizung verbunden sind,    4 vom Hundert,</w:t>
      </w:r>
    </w:p>
    <w:p>
      <w:r>
        <w:rPr>
          <w:rFonts w:ascii="Courier New" w:hAnsi="Courier New"/>
          <w:sz w:val="17"/>
        </w:rPr>
        <w:t xml:space="preserve">4.    der Sammelheizung einschließlich einer damit verbundenen Anlage zur Versorgung mit Warmwasser    3 vom Hundert,</w:t>
      </w:r>
    </w:p>
    <w:p>
      <w:r>
        <w:rPr>
          <w:rFonts w:ascii="Courier New" w:hAnsi="Courier New"/>
          <w:sz w:val="17"/>
        </w:rPr>
        <w:t xml:space="preserve">5.    der Hausanlage bei eigenständig gewerblicher Lieferung von Wärme    0,5 vom Hundert</w:t>
      </w:r>
    </w:p>
    <w:p>
      <w:r>
        <w:rPr>
          <w:rFonts w:ascii="Courier New" w:hAnsi="Courier New"/>
          <w:sz w:val="17"/>
        </w:rPr>
        <w:t xml:space="preserve">und einer damit verbundenen Anlage zur Versorgung mit Warmwasser    4 vom Hundert,</w:t>
      </w:r>
    </w:p>
    <w:p>
      <w:r>
        <w:rPr>
          <w:rFonts w:ascii="Courier New" w:hAnsi="Courier New"/>
          <w:sz w:val="17"/>
        </w:rPr>
        <w:t xml:space="preserve">6.    des Aufzugs    2 vom Hundert,</w:t>
      </w:r>
    </w:p>
    <w:p>
      <w:r>
        <w:rPr>
          <w:rFonts w:ascii="Courier New" w:hAnsi="Courier New"/>
          <w:sz w:val="17"/>
        </w:rPr>
        <w:t xml:space="preserve">7.    der Gemeinschaftsantenne    9 vom Hundert,</w:t>
      </w:r>
    </w:p>
    <w:p>
      <w:r>
        <w:rPr>
          <w:rFonts w:ascii="Courier New" w:hAnsi="Courier New"/>
          <w:sz w:val="17"/>
        </w:rPr>
        <w:t xml:space="preserve">8.    der maschinellen Wascheinrichtung    9 vom Hundert.</w:t>
      </w:r>
    </w:p>
    <w:p>
      <w:r>
        <w:rPr>
          <w:color w:val="555555"/>
          <w:sz w:val="17"/>
        </w:rPr>
        <w:t xml:space="preserve">Zitiervorschlag: § 25 BVO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https://recht.nulegal.eu/gesetze/BVO%202/25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