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BVO 2 — Marktüblicher Zinssatz für erste Hypotheken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Der marktübliche Zinssatz für erste Hypotheken im Zeitpunkt nach § 4 kann ermittelt werden</w:t>
      </w:r>
    </w:p>
    <w:p>
      <w:pPr>
        <w:ind w:left="420"/>
      </w:pPr>
      <w:r>
        <w:t xml:space="preserve">1. aus dem durchschnittlichen Zinssatz der durch erste Hypotheken gesicherten Darlehen, die zu dieser Zeit von Kreditinstituten oder privatrechtlichen Unternehmen, zu deren Geschäften üblicherweise die Hergabe derartiger Darlehen gehört, zu geschäftsüblichen Bedingungen für Bauvorhaben an demselben Ort gewährt worden sind oder</w:t>
      </w:r>
    </w:p>
    <w:p>
      <w:pPr>
        <w:ind w:left="420"/>
      </w:pPr>
      <w:r>
        <w:t xml:space="preserve">2. in Anlehnung an den Zinssatz der zu dieser Zeit zahlenmäßig am meisten abgesetzten Pfandbriefe unter Berücksichtigung der üblichen Zinsspanne.</w:t>
      </w:r>
    </w:p>
    <w:p>
      <w:r>
        <w:t xml:space="preserve">(2) Absatz 1 gilt sinngemäß, wenn der marktübliche Zinssatz für einen anderen Zeitpunkt als den nach § 4 festzustellen ist.</w:t>
      </w:r>
    </w:p>
    <w:p>
      <w:r>
        <w:rPr>
          <w:color w:val="555555"/>
          <w:sz w:val="17"/>
        </w:rPr>
        <w:t xml:space="preserve">Zitiervorschlag: § 23a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