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BVO 2 — Ersatz der Eigenleistung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öffentlich geförderten sozialen Wohnungsbau sind von der Bewilligungsstelle, soweit der Bauherr nichts anderes beantragt, als Ersatz der Eigenleistung anzuerkennen</w:t>
      </w:r>
    </w:p>
    <w:p>
      <w:pPr>
        <w:ind w:left="420"/>
      </w:pPr>
      <w:r>
        <w:t xml:space="preserve">1. ein der Restfinanzierung dienendes Familienzusatzdarlehen nach § 45 des Zweiten Wohnungsbaugesetzes,</w:t>
      </w:r>
    </w:p>
    <w:p>
      <w:pPr>
        <w:ind w:left="420"/>
      </w:pPr>
      <w:r>
        <w:t xml:space="preserve">2. ein Aufbaudarlehen an den Bauherrn nach § 254 des Lastenausgleichsgesetzes oder ein ähnliches Darlehen aus Mitteln eines öffentlichen Haushalts,</w:t>
      </w:r>
    </w:p>
    <w:p>
      <w:pPr>
        <w:ind w:left="420"/>
      </w:pPr>
      <w:r>
        <w:t xml:space="preserve">3. ein Darlehen an den Bauherrn zur Beschaffung von Wohnraum nach § 30 des Kriegsgefangenenentschädigungsgesetzes.</w:t>
      </w:r>
    </w:p>
    <w:p>
      <w:r>
        <w:t xml:space="preserve">(2) Im öffentlich geförderten sozialen Wohnungsbau kann die Bewilligungsstelle auf Antrag des Bauherrn ganz oder teilweise als Ersatz der Eigenleistung anerkennen</w:t>
      </w:r>
    </w:p>
    <w:p>
      <w:pPr>
        <w:ind w:left="420"/>
      </w:pPr>
      <w:r>
        <w:t xml:space="preserve">1. der Restfinanzierung dienende verlorene Baukostenzuschüsse, soweit ihre Annahme nach § 50 Abs. 1 des Zweiten Wohnungsbaugesetzes zulässig ist,</w:t>
      </w:r>
    </w:p>
    <w:p>
      <w:pPr>
        <w:ind w:left="420"/>
      </w:pPr>
      <w:r>
        <w:t xml:space="preserve">2. auf dem Baugrundstück nicht dinglich gesicherte Fremdmittel,</w:t>
      </w:r>
    </w:p>
    <w:p>
      <w:pPr>
        <w:ind w:left="420"/>
      </w:pPr>
      <w:r>
        <w:t xml:space="preserve">3. im Range nach dem der nachstelligen Finanzierung dienenden öffentlichen Baudarlehen auf dem Baugrundstück dinglich gesicherte Fremdmittel,</w:t>
      </w:r>
    </w:p>
    <w:p>
      <w:pPr>
        <w:ind w:left="420"/>
      </w:pPr>
      <w:r>
        <w:t xml:space="preserve">4. der Restfinanzierung dienende öffentliche Baudarlehen.</w:t>
      </w:r>
    </w:p>
    <w:p>
      <w:r>
        <w:t xml:space="preserve">(3) Für die als Ersatz der Eigenleistung anerkannten Finanzierungsmittel gelten im übrigen die Vorschriften für Fremdmittel oder verlorene Baukostenzuschüsse.</w:t>
      </w:r>
    </w:p>
    <w:p>
      <w:r>
        <w:rPr>
          <w:color w:val="555555"/>
          <w:sz w:val="17"/>
        </w:rPr>
        <w:t xml:space="preserve">Zitiervorschlag: § 16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